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spacing w:line="240" w:lineRule="auto"/>
        <w:jc w:val="center"/>
        <w:textAlignment w:val="auto"/>
        <w:rPr>
          <w:rFonts w:hint="eastAsia" w:ascii="仿宋_GB2312" w:eastAsia="仿宋_GB2312"/>
          <w:sz w:val="36"/>
          <w:szCs w:val="36"/>
          <w:lang w:val="en-US" w:eastAsia="zh-CN"/>
        </w:rPr>
      </w:pPr>
      <w:r>
        <w:rPr>
          <w:rFonts w:hint="eastAsia" w:ascii="仿宋_GB2312" w:eastAsia="仿宋_GB2312"/>
          <w:sz w:val="36"/>
          <w:szCs w:val="36"/>
        </w:rPr>
        <w:t>辽宁省高校教师岗前培训</w:t>
      </w:r>
      <w:r>
        <w:rPr>
          <w:rFonts w:hint="eastAsia" w:ascii="仿宋_GB2312" w:eastAsia="仿宋_GB2312"/>
          <w:sz w:val="36"/>
          <w:szCs w:val="36"/>
          <w:lang w:val="en-US" w:eastAsia="zh-CN"/>
        </w:rPr>
        <w:t xml:space="preserve">   </w:t>
      </w:r>
    </w:p>
    <w:p>
      <w:pPr>
        <w:keepNext w:val="0"/>
        <w:keepLines w:val="0"/>
        <w:pageBreakBefore w:val="0"/>
        <w:widowControl w:val="0"/>
        <w:kinsoku/>
        <w:wordWrap/>
        <w:overflowPunct/>
        <w:topLinePunct w:val="0"/>
        <w:autoSpaceDE/>
        <w:autoSpaceDN/>
        <w:bidi w:val="0"/>
        <w:spacing w:line="240" w:lineRule="auto"/>
        <w:jc w:val="center"/>
        <w:textAlignment w:val="auto"/>
        <w:rPr>
          <w:rFonts w:hint="eastAsia" w:ascii="仿宋_GB2312" w:eastAsia="仿宋_GB2312"/>
          <w:sz w:val="24"/>
          <w:szCs w:val="24"/>
          <w:lang w:val="en-US" w:eastAsia="zh-CN"/>
        </w:rPr>
      </w:pPr>
    </w:p>
    <w:p>
      <w:pPr>
        <w:keepNext w:val="0"/>
        <w:keepLines w:val="0"/>
        <w:pageBreakBefore w:val="0"/>
        <w:widowControl w:val="0"/>
        <w:kinsoku/>
        <w:wordWrap/>
        <w:overflowPunct/>
        <w:topLinePunct w:val="0"/>
        <w:autoSpaceDE/>
        <w:autoSpaceDN/>
        <w:bidi w:val="0"/>
        <w:spacing w:line="240" w:lineRule="auto"/>
        <w:jc w:val="center"/>
        <w:textAlignment w:val="auto"/>
        <w:rPr>
          <w:rFonts w:ascii="黑体" w:eastAsia="黑体"/>
          <w:sz w:val="44"/>
          <w:szCs w:val="44"/>
        </w:rPr>
      </w:pPr>
      <w:r>
        <w:rPr>
          <w:rFonts w:hint="eastAsia" w:ascii="黑体" w:eastAsia="黑体"/>
          <w:sz w:val="44"/>
          <w:szCs w:val="44"/>
        </w:rPr>
        <w:t>《高校教师职业道德》考试大纲</w:t>
      </w:r>
    </w:p>
    <w:p>
      <w:pPr>
        <w:keepNext w:val="0"/>
        <w:keepLines w:val="0"/>
        <w:pageBreakBefore w:val="0"/>
        <w:widowControl w:val="0"/>
        <w:kinsoku/>
        <w:wordWrap/>
        <w:overflowPunct/>
        <w:topLinePunct w:val="0"/>
        <w:autoSpaceDE/>
        <w:autoSpaceDN/>
        <w:bidi w:val="0"/>
        <w:spacing w:line="240" w:lineRule="auto"/>
        <w:textAlignment w:val="auto"/>
      </w:pPr>
    </w:p>
    <w:p>
      <w:pPr>
        <w:keepNext w:val="0"/>
        <w:keepLines w:val="0"/>
        <w:pageBreakBefore w:val="0"/>
        <w:widowControl w:val="0"/>
        <w:kinsoku/>
        <w:wordWrap/>
        <w:overflowPunct/>
        <w:topLinePunct w:val="0"/>
        <w:autoSpaceDE/>
        <w:autoSpaceDN/>
        <w:bidi w:val="0"/>
        <w:spacing w:line="520" w:lineRule="exact"/>
        <w:ind w:firstLine="484" w:firstLineChars="202"/>
        <w:textAlignment w:val="auto"/>
        <w:rPr>
          <w:rFonts w:ascii="黑体" w:eastAsia="黑体"/>
          <w:sz w:val="24"/>
          <w:szCs w:val="24"/>
        </w:rPr>
      </w:pPr>
      <w:r>
        <w:rPr>
          <w:rFonts w:hint="eastAsia" w:ascii="黑体" w:eastAsia="黑体"/>
          <w:sz w:val="24"/>
          <w:szCs w:val="24"/>
        </w:rPr>
        <w:t>一、 考试目标</w:t>
      </w:r>
    </w:p>
    <w:p>
      <w:pPr>
        <w:keepNext w:val="0"/>
        <w:keepLines w:val="0"/>
        <w:pageBreakBefore w:val="0"/>
        <w:widowControl w:val="0"/>
        <w:kinsoku/>
        <w:wordWrap/>
        <w:overflowPunct/>
        <w:topLinePunct w:val="0"/>
        <w:autoSpaceDE/>
        <w:autoSpaceDN/>
        <w:bidi w:val="0"/>
        <w:spacing w:line="520" w:lineRule="exact"/>
        <w:ind w:firstLine="484" w:firstLineChars="202"/>
        <w:textAlignment w:val="auto"/>
        <w:rPr>
          <w:rFonts w:ascii="仿宋_GB2312" w:eastAsia="仿宋_GB2312"/>
          <w:sz w:val="24"/>
          <w:szCs w:val="24"/>
        </w:rPr>
      </w:pPr>
      <w:r>
        <w:rPr>
          <w:rFonts w:hint="eastAsia" w:ascii="仿宋_GB2312" w:eastAsia="仿宋_GB2312"/>
          <w:sz w:val="24"/>
          <w:szCs w:val="24"/>
          <w:lang w:eastAsia="zh-CN"/>
        </w:rPr>
        <w:t>考查</w:t>
      </w:r>
      <w:r>
        <w:rPr>
          <w:rFonts w:hint="eastAsia" w:ascii="仿宋_GB2312" w:eastAsia="仿宋_GB2312"/>
          <w:sz w:val="24"/>
          <w:szCs w:val="24"/>
        </w:rPr>
        <w:t>高校新入职教师经过本学科的自主学习、同学讨论和课堂教学辅导后，真正理解加强高校教师职业道德建设的现实意义；</w:t>
      </w:r>
      <w:r>
        <w:rPr>
          <w:rFonts w:hint="eastAsia" w:ascii="仿宋_GB2312" w:eastAsia="仿宋_GB2312"/>
          <w:sz w:val="24"/>
          <w:szCs w:val="24"/>
          <w:lang w:eastAsia="zh-CN"/>
        </w:rPr>
        <w:t>考查</w:t>
      </w:r>
      <w:r>
        <w:rPr>
          <w:rFonts w:hint="eastAsia" w:ascii="仿宋_GB2312" w:eastAsia="仿宋_GB2312"/>
          <w:sz w:val="24"/>
          <w:szCs w:val="24"/>
        </w:rPr>
        <w:t>高校新入职教师对高校教师职业道德的基本规范的内涵、具体内容和要求的理解掌握程度；</w:t>
      </w:r>
      <w:r>
        <w:rPr>
          <w:rFonts w:hint="eastAsia" w:ascii="仿宋_GB2312" w:eastAsia="仿宋_GB2312"/>
          <w:sz w:val="24"/>
          <w:szCs w:val="24"/>
          <w:lang w:eastAsia="zh-CN"/>
        </w:rPr>
        <w:t>考查</w:t>
      </w:r>
      <w:r>
        <w:rPr>
          <w:rFonts w:hint="eastAsia" w:ascii="仿宋_GB2312" w:eastAsia="仿宋_GB2312"/>
          <w:sz w:val="24"/>
          <w:szCs w:val="24"/>
        </w:rPr>
        <w:t>高校新入职教师结合自己的工作实际，不断提高自身的职业道德修养</w:t>
      </w:r>
      <w:r>
        <w:rPr>
          <w:rFonts w:hint="eastAsia" w:ascii="仿宋_GB2312" w:eastAsia="仿宋_GB2312"/>
          <w:sz w:val="24"/>
          <w:szCs w:val="24"/>
          <w:lang w:val="en-US" w:eastAsia="zh-CN"/>
        </w:rPr>
        <w:t>的能力</w:t>
      </w:r>
      <w:r>
        <w:rPr>
          <w:rFonts w:hint="eastAsia" w:ascii="仿宋_GB2312" w:eastAsia="仿宋_GB2312"/>
          <w:sz w:val="24"/>
          <w:szCs w:val="24"/>
        </w:rPr>
        <w:t>。</w:t>
      </w:r>
    </w:p>
    <w:p>
      <w:pPr>
        <w:keepNext w:val="0"/>
        <w:keepLines w:val="0"/>
        <w:pageBreakBefore w:val="0"/>
        <w:widowControl w:val="0"/>
        <w:kinsoku/>
        <w:wordWrap/>
        <w:overflowPunct/>
        <w:topLinePunct w:val="0"/>
        <w:autoSpaceDE/>
        <w:autoSpaceDN/>
        <w:bidi w:val="0"/>
        <w:spacing w:line="520" w:lineRule="exact"/>
        <w:ind w:firstLine="484" w:firstLineChars="202"/>
        <w:textAlignment w:val="auto"/>
        <w:rPr>
          <w:rFonts w:ascii="黑体" w:eastAsia="黑体"/>
          <w:sz w:val="24"/>
          <w:szCs w:val="24"/>
        </w:rPr>
      </w:pPr>
      <w:r>
        <w:rPr>
          <w:rFonts w:hint="eastAsia" w:ascii="黑体" w:eastAsia="黑体"/>
          <w:sz w:val="24"/>
          <w:szCs w:val="24"/>
        </w:rPr>
        <w:t>二、考试内容与要求</w:t>
      </w:r>
    </w:p>
    <w:p>
      <w:pPr>
        <w:keepNext w:val="0"/>
        <w:keepLines w:val="0"/>
        <w:pageBreakBefore w:val="0"/>
        <w:widowControl w:val="0"/>
        <w:kinsoku/>
        <w:wordWrap/>
        <w:overflowPunct/>
        <w:topLinePunct w:val="0"/>
        <w:autoSpaceDE/>
        <w:autoSpaceDN/>
        <w:bidi w:val="0"/>
        <w:spacing w:line="520" w:lineRule="exact"/>
        <w:ind w:firstLine="484" w:firstLineChars="202"/>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一</w:t>
      </w:r>
      <w:r>
        <w:rPr>
          <w:rFonts w:hint="eastAsia" w:ascii="仿宋" w:hAnsi="仿宋" w:eastAsia="仿宋" w:cs="仿宋"/>
          <w:color w:val="auto"/>
          <w:sz w:val="24"/>
          <w:szCs w:val="24"/>
        </w:rPr>
        <w:t>）高校教师职业道德</w:t>
      </w:r>
      <w:r>
        <w:rPr>
          <w:rFonts w:hint="eastAsia" w:ascii="仿宋" w:hAnsi="仿宋" w:eastAsia="仿宋" w:cs="仿宋"/>
          <w:color w:val="auto"/>
          <w:sz w:val="24"/>
          <w:szCs w:val="24"/>
          <w:lang w:eastAsia="zh-CN"/>
        </w:rPr>
        <w:t>概述</w:t>
      </w:r>
    </w:p>
    <w:p>
      <w:pPr>
        <w:keepNext w:val="0"/>
        <w:keepLines w:val="0"/>
        <w:pageBreakBefore w:val="0"/>
        <w:widowControl w:val="0"/>
        <w:kinsoku/>
        <w:wordWrap/>
        <w:overflowPunct/>
        <w:topLinePunct w:val="0"/>
        <w:autoSpaceDE/>
        <w:autoSpaceDN/>
        <w:bidi w:val="0"/>
        <w:spacing w:line="520" w:lineRule="exact"/>
        <w:ind w:firstLine="470" w:firstLineChars="196"/>
        <w:textAlignment w:val="auto"/>
        <w:rPr>
          <w:rFonts w:hint="eastAsia" w:ascii="仿宋" w:hAnsi="仿宋" w:eastAsia="仿宋" w:cs="仿宋"/>
          <w:color w:val="auto"/>
          <w:kern w:val="0"/>
          <w:sz w:val="24"/>
          <w:szCs w:val="24"/>
        </w:rPr>
      </w:pPr>
      <w:r>
        <w:rPr>
          <w:rFonts w:hint="eastAsia" w:ascii="仿宋" w:hAnsi="仿宋" w:eastAsia="仿宋" w:cs="仿宋"/>
          <w:color w:val="auto"/>
          <w:sz w:val="24"/>
          <w:szCs w:val="24"/>
        </w:rPr>
        <w:t>了解道德的词源及内涵；理解道德的本质</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重点掌握道德</w:t>
      </w:r>
      <w:r>
        <w:rPr>
          <w:rFonts w:hint="eastAsia" w:ascii="仿宋" w:hAnsi="仿宋" w:eastAsia="仿宋" w:cs="仿宋"/>
          <w:color w:val="auto"/>
          <w:sz w:val="24"/>
          <w:szCs w:val="24"/>
          <w:lang w:eastAsia="zh-CN"/>
        </w:rPr>
        <w:t>的</w:t>
      </w:r>
      <w:r>
        <w:rPr>
          <w:rFonts w:hint="eastAsia" w:ascii="仿宋" w:hAnsi="仿宋" w:eastAsia="仿宋" w:cs="仿宋"/>
          <w:color w:val="auto"/>
          <w:sz w:val="24"/>
          <w:szCs w:val="24"/>
        </w:rPr>
        <w:t>特征；掌握职业道德的内涵、主要特征及发展；了解社会主义职业道德的基本特征及规范内容；理解教师职业形成的条件；了解教师职业发展的历史进程；了解中外教师职业道德的发展，熟悉中外思想家、教育家对教师职业和教师职业道德提出</w:t>
      </w:r>
      <w:r>
        <w:rPr>
          <w:rFonts w:hint="eastAsia" w:ascii="仿宋" w:hAnsi="仿宋" w:eastAsia="仿宋" w:cs="仿宋"/>
          <w:color w:val="auto"/>
          <w:sz w:val="24"/>
          <w:szCs w:val="24"/>
          <w:lang w:val="en-US" w:eastAsia="zh-CN"/>
        </w:rPr>
        <w:t>的</w:t>
      </w:r>
      <w:r>
        <w:rPr>
          <w:rFonts w:hint="eastAsia" w:ascii="仿宋" w:hAnsi="仿宋" w:eastAsia="仿宋" w:cs="仿宋"/>
          <w:color w:val="auto"/>
          <w:sz w:val="24"/>
          <w:szCs w:val="24"/>
        </w:rPr>
        <w:t>有价值的见解；理解教师职业道德的作用；理解教师个体职业道德形成和发展的基本规律；重点掌握教师职业道德规范的基本结构</w:t>
      </w:r>
      <w:r>
        <w:rPr>
          <w:rFonts w:hint="eastAsia" w:ascii="仿宋" w:hAnsi="仿宋" w:eastAsia="仿宋" w:cs="仿宋"/>
          <w:color w:val="auto"/>
          <w:kern w:val="0"/>
          <w:sz w:val="24"/>
          <w:szCs w:val="24"/>
        </w:rPr>
        <w:t>。</w:t>
      </w:r>
    </w:p>
    <w:p>
      <w:pPr>
        <w:keepNext w:val="0"/>
        <w:keepLines w:val="0"/>
        <w:pageBreakBefore w:val="0"/>
        <w:widowControl w:val="0"/>
        <w:kinsoku/>
        <w:wordWrap/>
        <w:overflowPunct/>
        <w:topLinePunct w:val="0"/>
        <w:autoSpaceDE/>
        <w:autoSpaceDN/>
        <w:bidi w:val="0"/>
        <w:spacing w:line="520" w:lineRule="exact"/>
        <w:ind w:firstLine="484" w:firstLineChars="202"/>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w:t>
      </w:r>
      <w:r>
        <w:rPr>
          <w:rFonts w:hint="eastAsia" w:ascii="仿宋" w:hAnsi="仿宋" w:eastAsia="仿宋" w:cs="仿宋"/>
          <w:color w:val="auto"/>
          <w:sz w:val="24"/>
          <w:szCs w:val="24"/>
          <w:lang w:eastAsia="zh-CN"/>
        </w:rPr>
        <w:t>二</w:t>
      </w:r>
      <w:r>
        <w:rPr>
          <w:rFonts w:hint="eastAsia" w:ascii="仿宋" w:hAnsi="仿宋" w:eastAsia="仿宋" w:cs="仿宋"/>
          <w:color w:val="auto"/>
          <w:sz w:val="24"/>
          <w:szCs w:val="24"/>
        </w:rPr>
        <w:t>）高校教师职业道德</w:t>
      </w:r>
      <w:r>
        <w:rPr>
          <w:rFonts w:hint="eastAsia" w:ascii="仿宋" w:hAnsi="仿宋" w:eastAsia="仿宋" w:cs="仿宋"/>
          <w:color w:val="auto"/>
          <w:sz w:val="24"/>
          <w:szCs w:val="24"/>
          <w:lang w:eastAsia="zh-CN"/>
        </w:rPr>
        <w:t>的</w:t>
      </w:r>
      <w:r>
        <w:rPr>
          <w:rFonts w:hint="eastAsia" w:ascii="仿宋" w:hAnsi="仿宋" w:eastAsia="仿宋" w:cs="仿宋"/>
          <w:color w:val="auto"/>
          <w:sz w:val="24"/>
          <w:szCs w:val="24"/>
        </w:rPr>
        <w:t>范畴</w:t>
      </w:r>
    </w:p>
    <w:p>
      <w:pPr>
        <w:keepNext w:val="0"/>
        <w:keepLines w:val="0"/>
        <w:pageBreakBefore w:val="0"/>
        <w:widowControl w:val="0"/>
        <w:kinsoku/>
        <w:wordWrap/>
        <w:overflowPunct/>
        <w:topLinePunct w:val="0"/>
        <w:autoSpaceDE/>
        <w:autoSpaceDN/>
        <w:bidi w:val="0"/>
        <w:spacing w:line="520" w:lineRule="exact"/>
        <w:ind w:firstLine="482" w:firstLineChars="200"/>
        <w:textAlignment w:val="auto"/>
        <w:rPr>
          <w:rFonts w:hint="eastAsia" w:ascii="仿宋" w:hAnsi="仿宋" w:eastAsia="仿宋" w:cs="仿宋"/>
          <w:color w:val="auto"/>
          <w:sz w:val="24"/>
          <w:szCs w:val="24"/>
        </w:rPr>
      </w:pPr>
      <w:r>
        <w:rPr>
          <w:rFonts w:hint="eastAsia" w:ascii="仿宋" w:hAnsi="仿宋" w:eastAsia="仿宋" w:cs="仿宋"/>
          <w:b/>
          <w:color w:val="auto"/>
          <w:sz w:val="24"/>
          <w:szCs w:val="24"/>
          <w:lang w:val="en-US" w:eastAsia="zh-CN"/>
        </w:rPr>
        <w:t xml:space="preserve"> </w:t>
      </w:r>
      <w:r>
        <w:rPr>
          <w:rFonts w:hint="eastAsia" w:ascii="仿宋" w:hAnsi="仿宋" w:eastAsia="仿宋" w:cs="仿宋"/>
          <w:color w:val="auto"/>
          <w:sz w:val="24"/>
          <w:szCs w:val="24"/>
        </w:rPr>
        <w:t>了解高校教师职业道德范畴的内涵；掌握高校教师职业道德的职业义务、职业公正、职业良心、职业幸福四个基本范畴的含义与特征；重点掌握促成高校教师职业义务、职业公正、职业良心、职业幸福实现的条件；并能结合自己的经</w:t>
      </w:r>
      <w:r>
        <w:rPr>
          <w:rFonts w:hint="eastAsia" w:ascii="仿宋" w:hAnsi="仿宋" w:eastAsia="仿宋" w:cs="仿宋"/>
          <w:color w:val="auto"/>
          <w:sz w:val="24"/>
          <w:szCs w:val="24"/>
          <w:lang w:eastAsia="zh-CN"/>
        </w:rPr>
        <w:t>历</w:t>
      </w:r>
      <w:r>
        <w:rPr>
          <w:rFonts w:hint="eastAsia" w:ascii="仿宋" w:hAnsi="仿宋" w:eastAsia="仿宋" w:cs="仿宋"/>
          <w:color w:val="auto"/>
          <w:sz w:val="24"/>
          <w:szCs w:val="24"/>
          <w:lang w:val="en-US" w:eastAsia="zh-CN"/>
        </w:rPr>
        <w:t>阐述</w:t>
      </w:r>
      <w:r>
        <w:rPr>
          <w:rFonts w:hint="eastAsia" w:ascii="仿宋" w:hAnsi="仿宋" w:eastAsia="仿宋" w:cs="仿宋"/>
          <w:color w:val="auto"/>
          <w:sz w:val="24"/>
          <w:szCs w:val="24"/>
        </w:rPr>
        <w:t>对教师职业义务、职业公正、职业良心、职业幸福的</w:t>
      </w:r>
      <w:r>
        <w:rPr>
          <w:rFonts w:hint="eastAsia" w:ascii="仿宋" w:hAnsi="仿宋" w:eastAsia="仿宋" w:cs="仿宋"/>
          <w:color w:val="auto"/>
          <w:sz w:val="24"/>
          <w:szCs w:val="24"/>
          <w:lang w:val="en-US" w:eastAsia="zh-CN"/>
        </w:rPr>
        <w:t>理解和</w:t>
      </w:r>
      <w:r>
        <w:rPr>
          <w:rFonts w:hint="eastAsia" w:ascii="仿宋" w:hAnsi="仿宋" w:eastAsia="仿宋" w:cs="仿宋"/>
          <w:color w:val="auto"/>
          <w:sz w:val="24"/>
          <w:szCs w:val="24"/>
        </w:rPr>
        <w:t>体会。</w:t>
      </w:r>
    </w:p>
    <w:p>
      <w:pPr>
        <w:keepNext w:val="0"/>
        <w:keepLines w:val="0"/>
        <w:pageBreakBefore w:val="0"/>
        <w:widowControl w:val="0"/>
        <w:kinsoku/>
        <w:wordWrap/>
        <w:overflowPunct/>
        <w:topLinePunct w:val="0"/>
        <w:autoSpaceDE/>
        <w:autoSpaceDN/>
        <w:bidi w:val="0"/>
        <w:spacing w:line="520" w:lineRule="exact"/>
        <w:ind w:firstLine="484" w:firstLineChars="202"/>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w:t>
      </w:r>
      <w:r>
        <w:rPr>
          <w:rFonts w:hint="eastAsia" w:ascii="仿宋" w:hAnsi="仿宋" w:eastAsia="仿宋" w:cs="仿宋"/>
          <w:color w:val="auto"/>
          <w:sz w:val="24"/>
          <w:szCs w:val="24"/>
          <w:lang w:eastAsia="zh-CN"/>
        </w:rPr>
        <w:t>三</w:t>
      </w:r>
      <w:r>
        <w:rPr>
          <w:rFonts w:hint="eastAsia" w:ascii="仿宋" w:hAnsi="仿宋" w:eastAsia="仿宋" w:cs="仿宋"/>
          <w:color w:val="auto"/>
          <w:sz w:val="24"/>
          <w:szCs w:val="24"/>
        </w:rPr>
        <w:t>）高校教师</w:t>
      </w:r>
      <w:r>
        <w:rPr>
          <w:rFonts w:hint="eastAsia" w:ascii="仿宋" w:hAnsi="仿宋" w:eastAsia="仿宋" w:cs="仿宋"/>
          <w:color w:val="auto"/>
          <w:sz w:val="24"/>
          <w:szCs w:val="24"/>
          <w:lang w:eastAsia="zh-CN"/>
        </w:rPr>
        <w:t>对待</w:t>
      </w:r>
      <w:r>
        <w:rPr>
          <w:rFonts w:hint="eastAsia" w:ascii="仿宋" w:hAnsi="仿宋" w:eastAsia="仿宋" w:cs="仿宋"/>
          <w:color w:val="auto"/>
          <w:sz w:val="24"/>
          <w:szCs w:val="24"/>
        </w:rPr>
        <w:t>教育事业</w:t>
      </w:r>
      <w:r>
        <w:rPr>
          <w:rFonts w:hint="eastAsia" w:ascii="仿宋" w:hAnsi="仿宋" w:eastAsia="仿宋" w:cs="仿宋"/>
          <w:color w:val="auto"/>
          <w:sz w:val="24"/>
          <w:szCs w:val="24"/>
          <w:lang w:eastAsia="zh-CN"/>
        </w:rPr>
        <w:t>的道德</w:t>
      </w:r>
    </w:p>
    <w:p>
      <w:pPr>
        <w:keepNext w:val="0"/>
        <w:keepLines w:val="0"/>
        <w:pageBreakBefore w:val="0"/>
        <w:widowControl w:val="0"/>
        <w:tabs>
          <w:tab w:val="left" w:pos="1620"/>
          <w:tab w:val="left" w:pos="1800"/>
        </w:tabs>
        <w:kinsoku/>
        <w:wordWrap/>
        <w:overflowPunct/>
        <w:topLinePunct w:val="0"/>
        <w:autoSpaceDE/>
        <w:autoSpaceDN/>
        <w:bidi w:val="0"/>
        <w:adjustRightInd w:val="0"/>
        <w:snapToGrid w:val="0"/>
        <w:spacing w:line="52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了解学习高校教师对待教育事业的道德规范的意义；掌握高校教师对待教育事业的理想层面的职业道德规范的内容；重点掌握高校教师对待教育事业的原则层面和规则层面的职业道德规范的具体要求</w:t>
      </w:r>
      <w:r>
        <w:rPr>
          <w:rFonts w:hint="eastAsia" w:ascii="仿宋" w:hAnsi="仿宋" w:eastAsia="仿宋" w:cs="仿宋"/>
          <w:color w:val="auto"/>
          <w:sz w:val="24"/>
          <w:szCs w:val="24"/>
          <w:lang w:eastAsia="zh-CN"/>
        </w:rPr>
        <w:t>；掌握高校教师学术研究的道德，</w:t>
      </w:r>
      <w:r>
        <w:rPr>
          <w:rFonts w:hint="eastAsia" w:ascii="仿宋" w:hAnsi="仿宋" w:eastAsia="仿宋" w:cs="仿宋"/>
          <w:color w:val="auto"/>
          <w:sz w:val="24"/>
          <w:szCs w:val="24"/>
        </w:rPr>
        <w:t>并能在自己实际工作中学会处理</w:t>
      </w:r>
      <w:r>
        <w:rPr>
          <w:rFonts w:hint="eastAsia" w:ascii="仿宋" w:hAnsi="仿宋" w:eastAsia="仿宋" w:cs="仿宋"/>
          <w:color w:val="auto"/>
          <w:sz w:val="24"/>
          <w:szCs w:val="24"/>
          <w:lang w:eastAsia="zh-CN"/>
        </w:rPr>
        <w:t>好</w:t>
      </w:r>
      <w:r>
        <w:rPr>
          <w:rFonts w:hint="eastAsia" w:ascii="仿宋" w:hAnsi="仿宋" w:eastAsia="仿宋" w:cs="仿宋"/>
          <w:color w:val="auto"/>
          <w:sz w:val="24"/>
          <w:szCs w:val="24"/>
        </w:rPr>
        <w:t>与教育事业</w:t>
      </w:r>
      <w:r>
        <w:rPr>
          <w:rFonts w:hint="eastAsia" w:ascii="仿宋" w:hAnsi="仿宋" w:eastAsia="仿宋" w:cs="仿宋"/>
          <w:color w:val="auto"/>
          <w:sz w:val="24"/>
          <w:szCs w:val="24"/>
          <w:lang w:eastAsia="zh-CN"/>
        </w:rPr>
        <w:t>之</w:t>
      </w:r>
      <w:r>
        <w:rPr>
          <w:rFonts w:hint="eastAsia" w:ascii="仿宋" w:hAnsi="仿宋" w:eastAsia="仿宋" w:cs="仿宋"/>
          <w:color w:val="auto"/>
          <w:sz w:val="24"/>
          <w:szCs w:val="24"/>
        </w:rPr>
        <w:t>间的关系。</w:t>
      </w:r>
    </w:p>
    <w:p>
      <w:pPr>
        <w:keepNext w:val="0"/>
        <w:keepLines w:val="0"/>
        <w:pageBreakBefore w:val="0"/>
        <w:widowControl w:val="0"/>
        <w:kinsoku/>
        <w:wordWrap/>
        <w:overflowPunct/>
        <w:topLinePunct w:val="0"/>
        <w:autoSpaceDE/>
        <w:autoSpaceDN/>
        <w:bidi w:val="0"/>
        <w:adjustRightInd w:val="0"/>
        <w:snapToGrid w:val="0"/>
        <w:spacing w:line="520" w:lineRule="exact"/>
        <w:ind w:left="0" w:leftChars="0" w:firstLine="638" w:firstLineChars="266"/>
        <w:jc w:val="both"/>
        <w:textAlignment w:val="auto"/>
        <w:rPr>
          <w:rFonts w:hint="eastAsia" w:ascii="仿宋" w:hAnsi="仿宋" w:eastAsia="仿宋" w:cs="仿宋"/>
          <w:b/>
          <w:color w:val="auto"/>
          <w:kern w:val="0"/>
          <w:sz w:val="24"/>
          <w:szCs w:val="24"/>
        </w:rPr>
      </w:pPr>
      <w:r>
        <w:rPr>
          <w:rFonts w:hint="eastAsia" w:ascii="仿宋" w:hAnsi="仿宋" w:eastAsia="仿宋" w:cs="仿宋"/>
          <w:color w:val="auto"/>
          <w:sz w:val="24"/>
          <w:szCs w:val="24"/>
        </w:rPr>
        <w:t>（</w:t>
      </w:r>
      <w:r>
        <w:rPr>
          <w:rFonts w:hint="eastAsia" w:ascii="仿宋" w:hAnsi="仿宋" w:eastAsia="仿宋" w:cs="仿宋"/>
          <w:color w:val="auto"/>
          <w:sz w:val="24"/>
          <w:szCs w:val="24"/>
          <w:lang w:eastAsia="zh-CN"/>
        </w:rPr>
        <w:t>四</w:t>
      </w:r>
      <w:r>
        <w:rPr>
          <w:rFonts w:hint="eastAsia" w:ascii="仿宋" w:hAnsi="仿宋" w:eastAsia="仿宋" w:cs="仿宋"/>
          <w:color w:val="auto"/>
          <w:sz w:val="24"/>
          <w:szCs w:val="24"/>
        </w:rPr>
        <w:t>）高校教师</w:t>
      </w:r>
      <w:r>
        <w:rPr>
          <w:rFonts w:hint="eastAsia" w:ascii="仿宋" w:hAnsi="仿宋" w:eastAsia="仿宋" w:cs="仿宋"/>
          <w:color w:val="auto"/>
          <w:sz w:val="24"/>
          <w:szCs w:val="24"/>
          <w:lang w:eastAsia="zh-CN"/>
        </w:rPr>
        <w:t>对待</w:t>
      </w:r>
      <w:r>
        <w:rPr>
          <w:rFonts w:hint="eastAsia" w:ascii="仿宋" w:hAnsi="仿宋" w:eastAsia="仿宋" w:cs="仿宋"/>
          <w:color w:val="auto"/>
          <w:sz w:val="24"/>
          <w:szCs w:val="24"/>
        </w:rPr>
        <w:t>学生</w:t>
      </w:r>
      <w:r>
        <w:rPr>
          <w:rFonts w:hint="eastAsia" w:ascii="仿宋" w:hAnsi="仿宋" w:eastAsia="仿宋" w:cs="仿宋"/>
          <w:color w:val="auto"/>
          <w:sz w:val="24"/>
          <w:szCs w:val="24"/>
          <w:lang w:eastAsia="zh-CN"/>
        </w:rPr>
        <w:t>的职业道德</w:t>
      </w:r>
      <w:r>
        <w:rPr>
          <w:rFonts w:hint="eastAsia" w:ascii="仿宋" w:hAnsi="仿宋" w:eastAsia="仿宋" w:cs="仿宋"/>
          <w:b/>
          <w:color w:val="auto"/>
          <w:sz w:val="24"/>
          <w:szCs w:val="24"/>
          <w:lang w:val="en-US" w:eastAsia="zh-CN"/>
        </w:rPr>
        <w:t xml:space="preserve"> </w:t>
      </w:r>
    </w:p>
    <w:p>
      <w:pPr>
        <w:keepNext w:val="0"/>
        <w:keepLines w:val="0"/>
        <w:pageBreakBefore w:val="0"/>
        <w:widowControl w:val="0"/>
        <w:kinsoku/>
        <w:wordWrap/>
        <w:overflowPunct/>
        <w:topLinePunct w:val="0"/>
        <w:autoSpaceDE/>
        <w:autoSpaceDN/>
        <w:bidi w:val="0"/>
        <w:spacing w:line="520" w:lineRule="exact"/>
        <w:ind w:firstLine="484" w:firstLineChars="202"/>
        <w:textAlignment w:val="auto"/>
        <w:rPr>
          <w:rFonts w:hint="eastAsia" w:ascii="仿宋" w:hAnsi="仿宋" w:eastAsia="仿宋" w:cs="仿宋"/>
          <w:b/>
          <w:color w:val="auto"/>
          <w:kern w:val="0"/>
          <w:sz w:val="24"/>
          <w:szCs w:val="24"/>
        </w:rPr>
      </w:pPr>
      <w:r>
        <w:rPr>
          <w:rFonts w:hint="eastAsia" w:ascii="仿宋" w:hAnsi="仿宋" w:eastAsia="仿宋" w:cs="仿宋"/>
          <w:color w:val="auto"/>
          <w:kern w:val="0"/>
          <w:sz w:val="24"/>
          <w:szCs w:val="24"/>
        </w:rPr>
        <w:t>了解</w:t>
      </w:r>
      <w:r>
        <w:rPr>
          <w:rFonts w:hint="eastAsia" w:ascii="仿宋" w:hAnsi="仿宋" w:eastAsia="仿宋" w:cs="仿宋"/>
          <w:color w:val="auto"/>
          <w:sz w:val="24"/>
          <w:szCs w:val="24"/>
        </w:rPr>
        <w:t>高校师生关系的内涵、类型；</w:t>
      </w:r>
      <w:r>
        <w:rPr>
          <w:rFonts w:hint="eastAsia" w:ascii="仿宋" w:hAnsi="仿宋" w:eastAsia="仿宋" w:cs="仿宋"/>
          <w:color w:val="auto"/>
          <w:kern w:val="0"/>
          <w:sz w:val="24"/>
          <w:szCs w:val="24"/>
        </w:rPr>
        <w:t>掌握</w:t>
      </w:r>
      <w:r>
        <w:rPr>
          <w:rFonts w:hint="eastAsia" w:ascii="仿宋" w:hAnsi="仿宋" w:eastAsia="仿宋" w:cs="仿宋"/>
          <w:color w:val="auto"/>
          <w:sz w:val="24"/>
          <w:szCs w:val="24"/>
        </w:rPr>
        <w:t>高校教师与学生关系的特点</w:t>
      </w:r>
      <w:r>
        <w:rPr>
          <w:rFonts w:hint="eastAsia" w:ascii="仿宋" w:hAnsi="仿宋" w:eastAsia="仿宋" w:cs="仿宋"/>
          <w:color w:val="auto"/>
          <w:kern w:val="0"/>
          <w:sz w:val="24"/>
          <w:szCs w:val="24"/>
        </w:rPr>
        <w:t>；</w:t>
      </w:r>
      <w:r>
        <w:rPr>
          <w:rFonts w:hint="eastAsia" w:ascii="仿宋" w:hAnsi="仿宋" w:eastAsia="仿宋" w:cs="仿宋"/>
          <w:color w:val="auto"/>
          <w:sz w:val="24"/>
          <w:szCs w:val="24"/>
        </w:rPr>
        <w:t>理解高校教师对学生职业道德的意义</w:t>
      </w:r>
      <w:r>
        <w:rPr>
          <w:rFonts w:hint="eastAsia" w:ascii="仿宋" w:hAnsi="仿宋" w:eastAsia="仿宋" w:cs="仿宋"/>
          <w:color w:val="auto"/>
          <w:kern w:val="0"/>
          <w:sz w:val="24"/>
          <w:szCs w:val="24"/>
        </w:rPr>
        <w:t>；重点掌握高校教师在与学生交往中应遵循的职业道德规范，结合工作实际学会处理好与学生的关系。</w:t>
      </w:r>
    </w:p>
    <w:p>
      <w:pPr>
        <w:keepNext w:val="0"/>
        <w:keepLines w:val="0"/>
        <w:pageBreakBefore w:val="0"/>
        <w:widowControl w:val="0"/>
        <w:kinsoku/>
        <w:wordWrap/>
        <w:overflowPunct/>
        <w:topLinePunct w:val="0"/>
        <w:autoSpaceDE/>
        <w:autoSpaceDN/>
        <w:bidi w:val="0"/>
        <w:spacing w:line="520" w:lineRule="exact"/>
        <w:ind w:left="0" w:leftChars="0" w:firstLine="638" w:firstLineChars="266"/>
        <w:textAlignment w:val="auto"/>
        <w:rPr>
          <w:rFonts w:hint="eastAsia" w:ascii="仿宋" w:hAnsi="仿宋" w:eastAsia="仿宋" w:cs="仿宋"/>
          <w:b/>
          <w:color w:val="auto"/>
          <w:kern w:val="0"/>
          <w:sz w:val="24"/>
          <w:szCs w:val="24"/>
        </w:rPr>
      </w:pPr>
      <w:r>
        <w:rPr>
          <w:rFonts w:hint="eastAsia" w:ascii="仿宋" w:hAnsi="仿宋" w:eastAsia="仿宋" w:cs="仿宋"/>
          <w:color w:val="auto"/>
          <w:sz w:val="24"/>
          <w:szCs w:val="24"/>
        </w:rPr>
        <w:t>（</w:t>
      </w:r>
      <w:r>
        <w:rPr>
          <w:rFonts w:hint="eastAsia" w:ascii="仿宋" w:hAnsi="仿宋" w:eastAsia="仿宋" w:cs="仿宋"/>
          <w:color w:val="auto"/>
          <w:sz w:val="24"/>
          <w:szCs w:val="24"/>
          <w:lang w:eastAsia="zh-CN"/>
        </w:rPr>
        <w:t>五</w:t>
      </w:r>
      <w:r>
        <w:rPr>
          <w:rFonts w:hint="eastAsia" w:ascii="仿宋" w:hAnsi="仿宋" w:eastAsia="仿宋" w:cs="仿宋"/>
          <w:color w:val="auto"/>
          <w:sz w:val="24"/>
          <w:szCs w:val="24"/>
        </w:rPr>
        <w:t>）高校教师</w:t>
      </w:r>
      <w:r>
        <w:rPr>
          <w:rFonts w:hint="eastAsia" w:ascii="仿宋" w:hAnsi="仿宋" w:eastAsia="仿宋" w:cs="仿宋"/>
          <w:color w:val="auto"/>
          <w:sz w:val="24"/>
          <w:szCs w:val="24"/>
          <w:lang w:eastAsia="zh-CN"/>
        </w:rPr>
        <w:t>对待</w:t>
      </w:r>
      <w:r>
        <w:rPr>
          <w:rFonts w:hint="eastAsia" w:ascii="仿宋" w:hAnsi="仿宋" w:eastAsia="仿宋" w:cs="仿宋"/>
          <w:color w:val="auto"/>
          <w:sz w:val="24"/>
          <w:szCs w:val="24"/>
        </w:rPr>
        <w:t>其他人员</w:t>
      </w:r>
      <w:r>
        <w:rPr>
          <w:rFonts w:hint="eastAsia" w:ascii="仿宋" w:hAnsi="仿宋" w:eastAsia="仿宋" w:cs="仿宋"/>
          <w:color w:val="auto"/>
          <w:sz w:val="24"/>
          <w:szCs w:val="24"/>
          <w:lang w:eastAsia="zh-CN"/>
        </w:rPr>
        <w:t>的职业道德</w:t>
      </w:r>
    </w:p>
    <w:p>
      <w:pPr>
        <w:keepNext w:val="0"/>
        <w:keepLines w:val="0"/>
        <w:pageBreakBefore w:val="0"/>
        <w:widowControl w:val="0"/>
        <w:kinsoku/>
        <w:wordWrap/>
        <w:overflowPunct/>
        <w:topLinePunct w:val="0"/>
        <w:autoSpaceDE/>
        <w:autoSpaceDN/>
        <w:bidi w:val="0"/>
        <w:spacing w:line="520" w:lineRule="exact"/>
        <w:ind w:firstLine="480" w:firstLineChars="200"/>
        <w:textAlignment w:val="auto"/>
        <w:rPr>
          <w:rFonts w:hint="eastAsia" w:ascii="仿宋" w:hAnsi="仿宋" w:eastAsia="仿宋" w:cs="仿宋"/>
          <w:color w:val="auto"/>
          <w:sz w:val="24"/>
          <w:szCs w:val="24"/>
          <w:shd w:val="clear" w:color="FFFFFF" w:fill="D9D9D9"/>
        </w:rPr>
      </w:pPr>
      <w:r>
        <w:rPr>
          <w:rFonts w:hint="eastAsia" w:ascii="仿宋" w:hAnsi="仿宋" w:eastAsia="仿宋" w:cs="仿宋"/>
          <w:color w:val="auto"/>
          <w:kern w:val="0"/>
          <w:sz w:val="24"/>
          <w:szCs w:val="24"/>
        </w:rPr>
        <w:t>了解高校教师在处理与</w:t>
      </w:r>
      <w:r>
        <w:rPr>
          <w:rFonts w:hint="eastAsia" w:ascii="仿宋" w:hAnsi="仿宋" w:eastAsia="仿宋" w:cs="仿宋"/>
          <w:color w:val="auto"/>
          <w:sz w:val="24"/>
          <w:szCs w:val="24"/>
        </w:rPr>
        <w:t>学校行政管理、后勤服务人员及学生家长</w:t>
      </w:r>
      <w:r>
        <w:rPr>
          <w:rFonts w:hint="eastAsia" w:ascii="仿宋" w:hAnsi="仿宋" w:eastAsia="仿宋" w:cs="仿宋"/>
          <w:color w:val="auto"/>
          <w:kern w:val="0"/>
          <w:sz w:val="24"/>
          <w:szCs w:val="24"/>
        </w:rPr>
        <w:t>之间关系的意义；掌握高校教师与学校相关人员的交往的类型或特点；重点掌握高校教师与他人关系的职业道德规范</w:t>
      </w:r>
      <w:r>
        <w:rPr>
          <w:rFonts w:hint="eastAsia" w:ascii="仿宋" w:hAnsi="仿宋" w:eastAsia="仿宋" w:cs="仿宋"/>
          <w:color w:val="auto"/>
          <w:sz w:val="24"/>
          <w:szCs w:val="24"/>
        </w:rPr>
        <w:t>，并能在自己实际工作中，学会处理好与学校其他人</w:t>
      </w:r>
      <w:r>
        <w:rPr>
          <w:rFonts w:hint="eastAsia" w:ascii="仿宋" w:hAnsi="仿宋" w:eastAsia="仿宋" w:cs="仿宋"/>
          <w:color w:val="auto"/>
          <w:sz w:val="24"/>
          <w:szCs w:val="24"/>
          <w:lang w:val="en-US" w:eastAsia="zh-CN"/>
        </w:rPr>
        <w:t>员</w:t>
      </w:r>
      <w:r>
        <w:rPr>
          <w:rFonts w:hint="eastAsia" w:ascii="仿宋" w:hAnsi="仿宋" w:eastAsia="仿宋" w:cs="仿宋"/>
          <w:color w:val="auto"/>
          <w:sz w:val="24"/>
          <w:szCs w:val="24"/>
        </w:rPr>
        <w:t>及学生家长之间的关系。</w:t>
      </w:r>
    </w:p>
    <w:p>
      <w:pPr>
        <w:keepNext w:val="0"/>
        <w:keepLines w:val="0"/>
        <w:pageBreakBefore w:val="0"/>
        <w:widowControl w:val="0"/>
        <w:kinsoku/>
        <w:wordWrap/>
        <w:overflowPunct/>
        <w:topLinePunct w:val="0"/>
        <w:autoSpaceDE/>
        <w:autoSpaceDN/>
        <w:bidi w:val="0"/>
        <w:spacing w:line="520" w:lineRule="exact"/>
        <w:ind w:left="0" w:leftChars="0" w:firstLine="638" w:firstLineChars="266"/>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w:t>
      </w:r>
      <w:r>
        <w:rPr>
          <w:rFonts w:hint="eastAsia" w:ascii="仿宋" w:hAnsi="仿宋" w:eastAsia="仿宋" w:cs="仿宋"/>
          <w:color w:val="auto"/>
          <w:sz w:val="24"/>
          <w:szCs w:val="24"/>
          <w:lang w:eastAsia="zh-CN"/>
        </w:rPr>
        <w:t>六</w:t>
      </w:r>
      <w:r>
        <w:rPr>
          <w:rFonts w:hint="eastAsia" w:ascii="仿宋" w:hAnsi="仿宋" w:eastAsia="仿宋" w:cs="仿宋"/>
          <w:color w:val="auto"/>
          <w:sz w:val="24"/>
          <w:szCs w:val="24"/>
        </w:rPr>
        <w:t>）高校教师道德修养</w:t>
      </w:r>
    </w:p>
    <w:p>
      <w:pPr>
        <w:keepNext w:val="0"/>
        <w:keepLines w:val="0"/>
        <w:pageBreakBefore w:val="0"/>
        <w:widowControl w:val="0"/>
        <w:kinsoku/>
        <w:wordWrap/>
        <w:overflowPunct/>
        <w:topLinePunct w:val="0"/>
        <w:autoSpaceDE/>
        <w:autoSpaceDN/>
        <w:bidi w:val="0"/>
        <w:spacing w:line="520" w:lineRule="exact"/>
        <w:ind w:firstLine="480" w:firstLineChars="200"/>
        <w:textAlignment w:val="auto"/>
        <w:rPr>
          <w:rFonts w:hint="eastAsia" w:ascii="楷体" w:hAnsi="楷体" w:eastAsia="楷体" w:cs="楷体"/>
          <w:color w:val="auto"/>
          <w:sz w:val="24"/>
          <w:szCs w:val="24"/>
        </w:rPr>
      </w:pPr>
      <w:r>
        <w:rPr>
          <w:rFonts w:hint="eastAsia" w:ascii="仿宋" w:hAnsi="仿宋" w:eastAsia="仿宋" w:cs="仿宋"/>
          <w:color w:val="auto"/>
          <w:sz w:val="24"/>
          <w:szCs w:val="24"/>
        </w:rPr>
        <w:t>了解教师道德修养的涵义以及加强教师道德修养的必要性；领会高校教师职业道德修养的实质以及特点；掌握教师职业道德修养的内容；重点掌握高校教师职业道德修养的途径与方法；并结合自己的经历或体会</w:t>
      </w:r>
      <w:r>
        <w:rPr>
          <w:rFonts w:hint="eastAsia" w:ascii="仿宋" w:hAnsi="仿宋" w:eastAsia="仿宋" w:cs="仿宋"/>
          <w:color w:val="auto"/>
          <w:sz w:val="24"/>
          <w:szCs w:val="24"/>
          <w:lang w:val="en-US" w:eastAsia="zh-CN"/>
        </w:rPr>
        <w:t>论述</w:t>
      </w:r>
      <w:r>
        <w:rPr>
          <w:rFonts w:hint="eastAsia" w:ascii="仿宋" w:hAnsi="仿宋" w:eastAsia="仿宋" w:cs="仿宋"/>
          <w:color w:val="auto"/>
          <w:sz w:val="24"/>
          <w:szCs w:val="24"/>
        </w:rPr>
        <w:t>高校教师加强职业道德修养的意义及方法。</w:t>
      </w:r>
      <w:r>
        <w:rPr>
          <w:rFonts w:hint="eastAsia" w:ascii="仿宋" w:hAnsi="仿宋" w:eastAsia="仿宋" w:cs="仿宋"/>
          <w:color w:val="auto"/>
          <w:sz w:val="24"/>
          <w:szCs w:val="24"/>
          <w:lang w:val="en-US" w:eastAsia="zh-CN"/>
        </w:rPr>
        <w:t xml:space="preserve"> </w:t>
      </w:r>
    </w:p>
    <w:p>
      <w:pPr>
        <w:keepNext w:val="0"/>
        <w:keepLines w:val="0"/>
        <w:pageBreakBefore w:val="0"/>
        <w:widowControl w:val="0"/>
        <w:kinsoku/>
        <w:wordWrap/>
        <w:overflowPunct/>
        <w:topLinePunct w:val="0"/>
        <w:autoSpaceDE/>
        <w:autoSpaceDN/>
        <w:bidi w:val="0"/>
        <w:spacing w:line="520" w:lineRule="exact"/>
        <w:ind w:firstLine="484" w:firstLineChars="202"/>
        <w:textAlignment w:val="auto"/>
        <w:rPr>
          <w:rFonts w:hint="eastAsia" w:ascii="黑体" w:eastAsia="黑体"/>
          <w:sz w:val="24"/>
          <w:szCs w:val="24"/>
        </w:rPr>
      </w:pPr>
      <w:r>
        <w:rPr>
          <w:rFonts w:hint="eastAsia" w:ascii="黑体" w:eastAsia="黑体"/>
          <w:sz w:val="24"/>
          <w:szCs w:val="24"/>
        </w:rPr>
        <w:t>三、试卷结构与题型</w:t>
      </w:r>
    </w:p>
    <w:p>
      <w:pPr>
        <w:keepNext w:val="0"/>
        <w:keepLines w:val="0"/>
        <w:pageBreakBefore w:val="0"/>
        <w:widowControl w:val="0"/>
        <w:kinsoku/>
        <w:wordWrap/>
        <w:overflowPunct/>
        <w:topLinePunct w:val="0"/>
        <w:autoSpaceDE/>
        <w:autoSpaceDN/>
        <w:bidi w:val="0"/>
        <w:spacing w:line="520" w:lineRule="exact"/>
        <w:ind w:firstLine="484" w:firstLineChars="202"/>
        <w:textAlignment w:val="auto"/>
        <w:rPr>
          <w:rFonts w:ascii="仿宋_GB2312" w:eastAsia="仿宋_GB2312"/>
          <w:sz w:val="24"/>
          <w:szCs w:val="24"/>
        </w:rPr>
      </w:pPr>
      <w:r>
        <w:rPr>
          <w:rFonts w:hint="eastAsia" w:ascii="仿宋_GB2312" w:eastAsia="仿宋_GB2312"/>
          <w:sz w:val="24"/>
          <w:szCs w:val="24"/>
          <w:lang w:val="en-US" w:eastAsia="zh-CN"/>
        </w:rPr>
        <w:t>考试</w:t>
      </w:r>
      <w:r>
        <w:rPr>
          <w:rFonts w:hint="eastAsia" w:ascii="仿宋_GB2312" w:eastAsia="仿宋_GB2312"/>
          <w:sz w:val="24"/>
          <w:szCs w:val="24"/>
        </w:rPr>
        <w:t>试卷由三种题型构成，试题类型、考核内容和分数比例见下表。</w:t>
      </w:r>
    </w:p>
    <w:p>
      <w:pPr>
        <w:keepNext w:val="0"/>
        <w:keepLines w:val="0"/>
        <w:pageBreakBefore w:val="0"/>
        <w:widowControl w:val="0"/>
        <w:kinsoku/>
        <w:wordWrap/>
        <w:overflowPunct/>
        <w:topLinePunct w:val="0"/>
        <w:autoSpaceDE/>
        <w:autoSpaceDN/>
        <w:bidi w:val="0"/>
        <w:spacing w:line="520" w:lineRule="exact"/>
        <w:textAlignment w:val="auto"/>
        <w:rPr>
          <w:rFonts w:hint="eastAsia" w:ascii="楷体" w:hAnsi="楷体" w:eastAsia="楷体" w:cs="楷体"/>
          <w:sz w:val="24"/>
          <w:szCs w:val="24"/>
        </w:rPr>
      </w:pPr>
      <w:r>
        <w:rPr>
          <w:rFonts w:hint="eastAsia" w:ascii="楷体" w:hAnsi="楷体" w:eastAsia="楷体" w:cs="楷体"/>
          <w:sz w:val="24"/>
          <w:szCs w:val="24"/>
        </w:rPr>
        <w:t xml:space="preserve">                 试题类型、考核内容及分数比例一览表</w:t>
      </w:r>
    </w:p>
    <w:tbl>
      <w:tblPr>
        <w:tblStyle w:val="6"/>
        <w:tblW w:w="8188"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2943"/>
        <w:gridCol w:w="3119"/>
        <w:gridCol w:w="2126"/>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50" w:hRule="atLeast"/>
        </w:trPr>
        <w:tc>
          <w:tcPr>
            <w:tcW w:w="2943" w:type="dxa"/>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ascii="仿宋_GB2312" w:eastAsia="仿宋_GB2312"/>
                <w:sz w:val="24"/>
                <w:szCs w:val="24"/>
              </w:rPr>
            </w:pPr>
            <w:r>
              <w:rPr>
                <w:rFonts w:hint="eastAsia" w:ascii="仿宋_GB2312" w:eastAsia="仿宋_GB2312"/>
                <w:sz w:val="24"/>
                <w:szCs w:val="24"/>
              </w:rPr>
              <w:t>试题类型</w:t>
            </w:r>
          </w:p>
        </w:tc>
        <w:tc>
          <w:tcPr>
            <w:tcW w:w="3119" w:type="dxa"/>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ascii="仿宋_GB2312" w:eastAsia="仿宋_GB2312"/>
                <w:sz w:val="24"/>
                <w:szCs w:val="24"/>
              </w:rPr>
            </w:pPr>
            <w:r>
              <w:rPr>
                <w:rFonts w:hint="eastAsia" w:ascii="仿宋_GB2312" w:eastAsia="仿宋_GB2312"/>
                <w:sz w:val="24"/>
                <w:szCs w:val="24"/>
              </w:rPr>
              <w:t>考核内容</w:t>
            </w:r>
          </w:p>
        </w:tc>
        <w:tc>
          <w:tcPr>
            <w:tcW w:w="2126" w:type="dxa"/>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ascii="仿宋_GB2312" w:eastAsia="仿宋_GB2312"/>
                <w:sz w:val="24"/>
                <w:szCs w:val="24"/>
              </w:rPr>
            </w:pPr>
            <w:r>
              <w:rPr>
                <w:rFonts w:hint="eastAsia" w:ascii="仿宋_GB2312" w:eastAsia="仿宋_GB2312"/>
                <w:sz w:val="24"/>
                <w:szCs w:val="24"/>
              </w:rPr>
              <w:t>分数比例（%）</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943" w:type="dxa"/>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ascii="仿宋_GB2312" w:eastAsia="仿宋_GB2312"/>
                <w:sz w:val="24"/>
                <w:szCs w:val="24"/>
              </w:rPr>
            </w:pPr>
            <w:r>
              <w:rPr>
                <w:rFonts w:hint="eastAsia" w:ascii="仿宋_GB2312" w:eastAsia="仿宋_GB2312"/>
                <w:sz w:val="24"/>
                <w:szCs w:val="24"/>
              </w:rPr>
              <w:t>简答题</w:t>
            </w:r>
          </w:p>
        </w:tc>
        <w:tc>
          <w:tcPr>
            <w:tcW w:w="3119" w:type="dxa"/>
            <w:vAlign w:val="center"/>
          </w:tcPr>
          <w:p>
            <w:pPr>
              <w:keepNext w:val="0"/>
              <w:keepLines w:val="0"/>
              <w:pageBreakBefore w:val="0"/>
              <w:widowControl w:val="0"/>
              <w:kinsoku/>
              <w:wordWrap/>
              <w:overflowPunct/>
              <w:topLinePunct w:val="0"/>
              <w:autoSpaceDE/>
              <w:autoSpaceDN/>
              <w:bidi w:val="0"/>
              <w:adjustRightInd/>
              <w:snapToGrid/>
              <w:spacing w:line="460" w:lineRule="exact"/>
              <w:textAlignment w:val="auto"/>
              <w:rPr>
                <w:rFonts w:ascii="仿宋_GB2312" w:eastAsia="仿宋_GB2312"/>
                <w:sz w:val="24"/>
                <w:szCs w:val="24"/>
              </w:rPr>
            </w:pPr>
            <w:r>
              <w:rPr>
                <w:rFonts w:hint="eastAsia" w:ascii="仿宋_GB2312" w:eastAsia="仿宋_GB2312"/>
                <w:sz w:val="24"/>
                <w:szCs w:val="24"/>
              </w:rPr>
              <w:t>基本概念、规律的理解</w:t>
            </w:r>
          </w:p>
        </w:tc>
        <w:tc>
          <w:tcPr>
            <w:tcW w:w="2126" w:type="dxa"/>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ascii="仿宋_GB2312" w:eastAsia="仿宋_GB2312"/>
                <w:sz w:val="24"/>
                <w:szCs w:val="24"/>
              </w:rPr>
            </w:pPr>
            <w:r>
              <w:rPr>
                <w:rFonts w:hint="eastAsia" w:ascii="仿宋_GB2312" w:eastAsia="仿宋_GB2312"/>
                <w:sz w:val="24"/>
                <w:szCs w:val="24"/>
              </w:rPr>
              <w:t>20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943" w:type="dxa"/>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ascii="仿宋_GB2312" w:eastAsia="仿宋_GB2312"/>
                <w:sz w:val="24"/>
                <w:szCs w:val="24"/>
              </w:rPr>
            </w:pPr>
            <w:r>
              <w:rPr>
                <w:rFonts w:hint="eastAsia" w:ascii="仿宋_GB2312" w:eastAsia="仿宋_GB2312"/>
                <w:sz w:val="24"/>
                <w:szCs w:val="24"/>
              </w:rPr>
              <w:t>论述题</w:t>
            </w:r>
          </w:p>
        </w:tc>
        <w:tc>
          <w:tcPr>
            <w:tcW w:w="3119" w:type="dxa"/>
            <w:vAlign w:val="center"/>
          </w:tcPr>
          <w:p>
            <w:pPr>
              <w:keepNext w:val="0"/>
              <w:keepLines w:val="0"/>
              <w:pageBreakBefore w:val="0"/>
              <w:widowControl w:val="0"/>
              <w:kinsoku/>
              <w:wordWrap/>
              <w:overflowPunct/>
              <w:topLinePunct w:val="0"/>
              <w:autoSpaceDE/>
              <w:autoSpaceDN/>
              <w:bidi w:val="0"/>
              <w:adjustRightInd/>
              <w:snapToGrid/>
              <w:spacing w:line="460" w:lineRule="exact"/>
              <w:textAlignment w:val="auto"/>
              <w:rPr>
                <w:rFonts w:ascii="仿宋_GB2312" w:eastAsia="仿宋_GB2312"/>
                <w:sz w:val="24"/>
                <w:szCs w:val="24"/>
              </w:rPr>
            </w:pPr>
            <w:r>
              <w:rPr>
                <w:rFonts w:hint="eastAsia" w:ascii="仿宋_GB2312" w:eastAsia="仿宋_GB2312"/>
                <w:sz w:val="24"/>
                <w:szCs w:val="24"/>
              </w:rPr>
              <w:t>基本概念、原理、方法的理解、运用和评价</w:t>
            </w:r>
          </w:p>
        </w:tc>
        <w:tc>
          <w:tcPr>
            <w:tcW w:w="2126" w:type="dxa"/>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ascii="仿宋_GB2312" w:eastAsia="仿宋_GB2312"/>
                <w:sz w:val="24"/>
                <w:szCs w:val="24"/>
              </w:rPr>
            </w:pPr>
            <w:r>
              <w:rPr>
                <w:rFonts w:hint="eastAsia" w:ascii="仿宋_GB2312" w:eastAsia="仿宋_GB2312"/>
                <w:sz w:val="24"/>
                <w:szCs w:val="24"/>
              </w:rPr>
              <w:t>40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943" w:type="dxa"/>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ascii="仿宋_GB2312" w:eastAsia="仿宋_GB2312"/>
                <w:sz w:val="24"/>
                <w:szCs w:val="24"/>
              </w:rPr>
            </w:pPr>
            <w:r>
              <w:rPr>
                <w:rFonts w:hint="eastAsia" w:ascii="仿宋_GB2312" w:eastAsia="仿宋_GB2312"/>
                <w:sz w:val="24"/>
                <w:szCs w:val="24"/>
              </w:rPr>
              <w:t>案例分析题或材料分析题</w:t>
            </w:r>
          </w:p>
        </w:tc>
        <w:tc>
          <w:tcPr>
            <w:tcW w:w="3119" w:type="dxa"/>
            <w:vAlign w:val="center"/>
          </w:tcPr>
          <w:p>
            <w:pPr>
              <w:keepNext w:val="0"/>
              <w:keepLines w:val="0"/>
              <w:pageBreakBefore w:val="0"/>
              <w:widowControl w:val="0"/>
              <w:kinsoku/>
              <w:wordWrap/>
              <w:overflowPunct/>
              <w:topLinePunct w:val="0"/>
              <w:autoSpaceDE/>
              <w:autoSpaceDN/>
              <w:bidi w:val="0"/>
              <w:adjustRightInd/>
              <w:snapToGrid/>
              <w:spacing w:line="460" w:lineRule="exact"/>
              <w:textAlignment w:val="auto"/>
              <w:rPr>
                <w:rFonts w:ascii="仿宋_GB2312" w:eastAsia="仿宋_GB2312"/>
                <w:sz w:val="24"/>
                <w:szCs w:val="24"/>
              </w:rPr>
            </w:pPr>
            <w:r>
              <w:rPr>
                <w:rFonts w:hint="eastAsia" w:ascii="仿宋_GB2312" w:eastAsia="仿宋_GB2312"/>
                <w:sz w:val="24"/>
                <w:szCs w:val="24"/>
              </w:rPr>
              <w:t>基本规范要求在教育教学过程中运用的分析及评价</w:t>
            </w:r>
          </w:p>
        </w:tc>
        <w:tc>
          <w:tcPr>
            <w:tcW w:w="2126" w:type="dxa"/>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ascii="仿宋_GB2312" w:eastAsia="仿宋_GB2312"/>
                <w:sz w:val="24"/>
                <w:szCs w:val="24"/>
              </w:rPr>
            </w:pPr>
            <w:r>
              <w:rPr>
                <w:rFonts w:hint="eastAsia" w:ascii="仿宋_GB2312" w:eastAsia="仿宋_GB2312"/>
                <w:sz w:val="24"/>
                <w:szCs w:val="24"/>
              </w:rPr>
              <w:t>40</w:t>
            </w:r>
          </w:p>
        </w:tc>
      </w:tr>
    </w:tbl>
    <w:p>
      <w:pPr>
        <w:keepNext w:val="0"/>
        <w:keepLines w:val="0"/>
        <w:pageBreakBefore w:val="0"/>
        <w:widowControl w:val="0"/>
        <w:kinsoku/>
        <w:wordWrap/>
        <w:overflowPunct/>
        <w:topLinePunct w:val="0"/>
        <w:autoSpaceDE/>
        <w:autoSpaceDN/>
        <w:bidi w:val="0"/>
        <w:spacing w:line="520" w:lineRule="exact"/>
        <w:ind w:left="0" w:leftChars="0" w:firstLine="420" w:firstLineChars="175"/>
        <w:textAlignment w:val="auto"/>
        <w:rPr>
          <w:rFonts w:hint="eastAsia" w:ascii="黑体" w:eastAsia="黑体"/>
          <w:color w:val="auto"/>
          <w:sz w:val="30"/>
          <w:szCs w:val="30"/>
          <w:lang w:val="en-US" w:eastAsia="zh-CN"/>
        </w:rPr>
      </w:pPr>
      <w:r>
        <w:rPr>
          <w:rFonts w:hint="eastAsia" w:ascii="仿宋_GB2312" w:eastAsia="仿宋_GB2312"/>
          <w:color w:val="auto"/>
          <w:sz w:val="24"/>
          <w:szCs w:val="24"/>
        </w:rPr>
        <w:t xml:space="preserve"> 简</w:t>
      </w:r>
      <w:r>
        <w:rPr>
          <w:rFonts w:hint="eastAsia" w:ascii="仿宋_GB2312" w:eastAsia="仿宋_GB2312"/>
          <w:color w:val="auto"/>
          <w:sz w:val="24"/>
          <w:szCs w:val="24"/>
          <w:lang w:val="en-US" w:eastAsia="zh-CN"/>
        </w:rPr>
        <w:t>答</w:t>
      </w:r>
      <w:r>
        <w:rPr>
          <w:rFonts w:hint="eastAsia" w:ascii="仿宋_GB2312" w:eastAsia="仿宋_GB2312"/>
          <w:color w:val="auto"/>
          <w:sz w:val="24"/>
          <w:szCs w:val="24"/>
        </w:rPr>
        <w:t>题</w:t>
      </w:r>
      <w:r>
        <w:rPr>
          <w:rFonts w:hint="eastAsia" w:ascii="仿宋_GB2312" w:eastAsia="仿宋_GB2312"/>
          <w:color w:val="auto"/>
          <w:sz w:val="24"/>
          <w:szCs w:val="24"/>
          <w:lang w:val="en-US" w:eastAsia="zh-CN"/>
        </w:rPr>
        <w:t>分值20分，共</w:t>
      </w:r>
      <w:r>
        <w:rPr>
          <w:rFonts w:hint="eastAsia" w:ascii="仿宋_GB2312" w:eastAsia="仿宋_GB2312"/>
          <w:color w:val="auto"/>
          <w:sz w:val="24"/>
          <w:szCs w:val="24"/>
        </w:rPr>
        <w:t>2</w:t>
      </w:r>
      <w:r>
        <w:rPr>
          <w:rFonts w:hint="eastAsia" w:ascii="仿宋_GB2312" w:eastAsia="仿宋_GB2312"/>
          <w:color w:val="auto"/>
          <w:sz w:val="24"/>
          <w:szCs w:val="24"/>
          <w:lang w:val="en-US" w:eastAsia="zh-CN"/>
        </w:rPr>
        <w:t>道小题，每题10分；论述题分值40分，共2道小题，每题20分；</w:t>
      </w:r>
      <w:r>
        <w:rPr>
          <w:rFonts w:hint="eastAsia" w:ascii="仿宋_GB2312" w:eastAsia="仿宋_GB2312"/>
          <w:color w:val="auto"/>
          <w:sz w:val="24"/>
          <w:szCs w:val="24"/>
        </w:rPr>
        <w:t>案例分析题或材料分析题</w:t>
      </w:r>
      <w:r>
        <w:rPr>
          <w:rFonts w:hint="eastAsia" w:ascii="仿宋_GB2312" w:eastAsia="仿宋_GB2312"/>
          <w:color w:val="auto"/>
          <w:sz w:val="24"/>
          <w:szCs w:val="24"/>
          <w:lang w:val="en-US" w:eastAsia="zh-CN"/>
        </w:rPr>
        <w:t>分值40分。</w:t>
      </w:r>
      <w:r>
        <w:rPr>
          <w:rFonts w:hint="eastAsia" w:ascii="仿宋_GB2312" w:eastAsia="仿宋_GB2312"/>
          <w:color w:val="auto"/>
          <w:sz w:val="24"/>
          <w:szCs w:val="24"/>
        </w:rPr>
        <w:t>考试成绩满分为100分，60分为合格。</w:t>
      </w:r>
      <w:r>
        <w:rPr>
          <w:rFonts w:hint="eastAsia" w:ascii="黑体" w:eastAsia="黑体"/>
          <w:color w:val="auto"/>
          <w:sz w:val="30"/>
          <w:szCs w:val="30"/>
          <w:lang w:val="en-US" w:eastAsia="zh-CN"/>
        </w:rPr>
        <w:t xml:space="preserve"> </w:t>
      </w:r>
      <w:bookmarkStart w:id="0" w:name="_GoBack"/>
      <w:bookmarkEnd w:id="0"/>
    </w:p>
    <w:p>
      <w:pPr>
        <w:keepNext w:val="0"/>
        <w:keepLines w:val="0"/>
        <w:pageBreakBefore w:val="0"/>
        <w:widowControl w:val="0"/>
        <w:kinsoku/>
        <w:wordWrap/>
        <w:overflowPunct/>
        <w:topLinePunct w:val="0"/>
        <w:autoSpaceDE/>
        <w:autoSpaceDN/>
        <w:bidi w:val="0"/>
        <w:spacing w:line="520" w:lineRule="exact"/>
        <w:ind w:firstLine="484" w:firstLineChars="202"/>
        <w:textAlignment w:val="auto"/>
        <w:rPr>
          <w:rFonts w:hint="eastAsia" w:ascii="黑体" w:eastAsia="黑体"/>
          <w:sz w:val="30"/>
          <w:szCs w:val="30"/>
          <w:lang w:val="en-US" w:eastAsia="zh-CN"/>
        </w:rPr>
      </w:pPr>
      <w:r>
        <w:rPr>
          <w:rFonts w:hint="eastAsia" w:ascii="仿宋_GB2312" w:eastAsia="仿宋_GB2312"/>
          <w:sz w:val="24"/>
          <w:szCs w:val="24"/>
        </w:rPr>
        <w:t>考试为开卷考试，考试时间为90分钟。</w:t>
      </w:r>
    </w:p>
    <w:sectPr>
      <w:footerReference r:id="rId3" w:type="default"/>
      <w:pgSz w:w="11906" w:h="16838"/>
      <w:pgMar w:top="1440" w:right="1800" w:bottom="1440" w:left="1800" w:header="851" w:footer="992" w:gutter="0"/>
      <w:pgNumType w:start="1"/>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54857813"/>
      <w:docPartObj>
        <w:docPartGallery w:val="autotext"/>
      </w:docPartObj>
    </w:sdtPr>
    <w:sdtContent>
      <w:p>
        <w:pPr>
          <w:pStyle w:val="3"/>
          <w:jc w:val="center"/>
        </w:pPr>
        <w:r>
          <w:fldChar w:fldCharType="begin"/>
        </w:r>
        <w:r>
          <w:instrText xml:space="preserve">PAGE   \* MERGEFORMAT</w:instrText>
        </w:r>
        <w:r>
          <w:fldChar w:fldCharType="separate"/>
        </w:r>
        <w:r>
          <w:rPr>
            <w:lang w:val="zh-CN"/>
          </w:rPr>
          <w:t>1</w:t>
        </w:r>
        <w: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B3A"/>
    <w:rsid w:val="0000567C"/>
    <w:rsid w:val="000160E8"/>
    <w:rsid w:val="00050896"/>
    <w:rsid w:val="00056DCB"/>
    <w:rsid w:val="00077CBD"/>
    <w:rsid w:val="000A3B53"/>
    <w:rsid w:val="001054D6"/>
    <w:rsid w:val="00114783"/>
    <w:rsid w:val="00163F16"/>
    <w:rsid w:val="001F17CF"/>
    <w:rsid w:val="00247B3A"/>
    <w:rsid w:val="002661DF"/>
    <w:rsid w:val="00284830"/>
    <w:rsid w:val="002A415A"/>
    <w:rsid w:val="002E13DE"/>
    <w:rsid w:val="00342396"/>
    <w:rsid w:val="00382EA4"/>
    <w:rsid w:val="003A1C1E"/>
    <w:rsid w:val="003C317F"/>
    <w:rsid w:val="004A0E53"/>
    <w:rsid w:val="004B0065"/>
    <w:rsid w:val="004C142E"/>
    <w:rsid w:val="0053476D"/>
    <w:rsid w:val="00555680"/>
    <w:rsid w:val="005E1129"/>
    <w:rsid w:val="005E2E55"/>
    <w:rsid w:val="00652A23"/>
    <w:rsid w:val="00670F7D"/>
    <w:rsid w:val="006754F5"/>
    <w:rsid w:val="00676CEA"/>
    <w:rsid w:val="0076078E"/>
    <w:rsid w:val="007841E6"/>
    <w:rsid w:val="007B35DA"/>
    <w:rsid w:val="007B7149"/>
    <w:rsid w:val="007F2E3E"/>
    <w:rsid w:val="008226A2"/>
    <w:rsid w:val="00856013"/>
    <w:rsid w:val="00867544"/>
    <w:rsid w:val="008B465E"/>
    <w:rsid w:val="008E36F3"/>
    <w:rsid w:val="008F3D56"/>
    <w:rsid w:val="0091149B"/>
    <w:rsid w:val="009204D3"/>
    <w:rsid w:val="00932181"/>
    <w:rsid w:val="0093776E"/>
    <w:rsid w:val="00961128"/>
    <w:rsid w:val="009A49EF"/>
    <w:rsid w:val="009C19C9"/>
    <w:rsid w:val="009F1556"/>
    <w:rsid w:val="00A71AC0"/>
    <w:rsid w:val="00AD0A46"/>
    <w:rsid w:val="00AE3D88"/>
    <w:rsid w:val="00B05B06"/>
    <w:rsid w:val="00B706A4"/>
    <w:rsid w:val="00BA3986"/>
    <w:rsid w:val="00BD0D64"/>
    <w:rsid w:val="00BF74F5"/>
    <w:rsid w:val="00C22196"/>
    <w:rsid w:val="00C46449"/>
    <w:rsid w:val="00C71DF1"/>
    <w:rsid w:val="00C879CD"/>
    <w:rsid w:val="00C92B60"/>
    <w:rsid w:val="00C95253"/>
    <w:rsid w:val="00CE299F"/>
    <w:rsid w:val="00D63926"/>
    <w:rsid w:val="00D75F3F"/>
    <w:rsid w:val="00DB5159"/>
    <w:rsid w:val="00DD1049"/>
    <w:rsid w:val="00DD5BC7"/>
    <w:rsid w:val="00DE6A4D"/>
    <w:rsid w:val="00DF356D"/>
    <w:rsid w:val="00E00DDB"/>
    <w:rsid w:val="00E0700D"/>
    <w:rsid w:val="00E52646"/>
    <w:rsid w:val="00E709C9"/>
    <w:rsid w:val="00E81A38"/>
    <w:rsid w:val="00ED102E"/>
    <w:rsid w:val="00ED2913"/>
    <w:rsid w:val="00F00F10"/>
    <w:rsid w:val="00F92154"/>
    <w:rsid w:val="00FF2B67"/>
    <w:rsid w:val="00FF5CDE"/>
    <w:rsid w:val="023D6806"/>
    <w:rsid w:val="041012EA"/>
    <w:rsid w:val="053051BE"/>
    <w:rsid w:val="0BBC498B"/>
    <w:rsid w:val="10AE160C"/>
    <w:rsid w:val="1143207B"/>
    <w:rsid w:val="25152FAA"/>
    <w:rsid w:val="29731A40"/>
    <w:rsid w:val="38112923"/>
    <w:rsid w:val="399B2F97"/>
    <w:rsid w:val="40B206FF"/>
    <w:rsid w:val="40D0644F"/>
    <w:rsid w:val="43BC09D6"/>
    <w:rsid w:val="48C92C1A"/>
    <w:rsid w:val="4EFE65CD"/>
    <w:rsid w:val="510455A9"/>
    <w:rsid w:val="520018C0"/>
    <w:rsid w:val="557D5F74"/>
    <w:rsid w:val="57CB0D84"/>
    <w:rsid w:val="609C2B41"/>
    <w:rsid w:val="60E02D7A"/>
    <w:rsid w:val="6135247B"/>
    <w:rsid w:val="61551815"/>
    <w:rsid w:val="621064A5"/>
    <w:rsid w:val="623619A7"/>
    <w:rsid w:val="6291150A"/>
    <w:rsid w:val="686D3D09"/>
    <w:rsid w:val="6B975BE0"/>
    <w:rsid w:val="6CFB3E1D"/>
    <w:rsid w:val="6D164036"/>
    <w:rsid w:val="6D7E2761"/>
    <w:rsid w:val="72FB33C6"/>
    <w:rsid w:val="7394042F"/>
    <w:rsid w:val="77E44913"/>
    <w:rsid w:val="784D7A9C"/>
    <w:rsid w:val="7A004018"/>
    <w:rsid w:val="7D6A2D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paragraph" w:customStyle="1" w:styleId="8">
    <w:name w:val="列出段落1"/>
    <w:basedOn w:val="1"/>
    <w:qFormat/>
    <w:uiPriority w:val="34"/>
    <w:pPr>
      <w:ind w:firstLine="420" w:firstLineChars="200"/>
    </w:pPr>
  </w:style>
  <w:style w:type="character" w:customStyle="1" w:styleId="9">
    <w:name w:val="页眉 Char"/>
    <w:basedOn w:val="7"/>
    <w:link w:val="4"/>
    <w:qFormat/>
    <w:uiPriority w:val="99"/>
    <w:rPr>
      <w:sz w:val="18"/>
      <w:szCs w:val="18"/>
    </w:rPr>
  </w:style>
  <w:style w:type="character" w:customStyle="1" w:styleId="10">
    <w:name w:val="页脚 Char"/>
    <w:basedOn w:val="7"/>
    <w:link w:val="3"/>
    <w:qFormat/>
    <w:uiPriority w:val="99"/>
    <w:rPr>
      <w:sz w:val="18"/>
      <w:szCs w:val="18"/>
    </w:rPr>
  </w:style>
  <w:style w:type="character" w:customStyle="1" w:styleId="11">
    <w:name w:val="批注框文本 Char"/>
    <w:basedOn w:val="7"/>
    <w:link w:val="2"/>
    <w:semiHidden/>
    <w:qFormat/>
    <w:uiPriority w:val="99"/>
    <w:rPr>
      <w:sz w:val="18"/>
      <w:szCs w:val="18"/>
    </w:rPr>
  </w:style>
  <w:style w:type="paragraph" w:customStyle="1" w:styleId="12">
    <w:name w:val="reader-word-layer"/>
    <w:basedOn w:val="1"/>
    <w:qFormat/>
    <w:uiPriority w:val="0"/>
    <w:pPr>
      <w:spacing w:before="100" w:beforeAutospacing="1" w:after="100" w:afterAutospacing="1"/>
    </w:pPr>
    <w:rPr>
      <w:rFonts w:ascii="宋体" w:hAnsi="宋体" w:eastAsia="宋体" w:cs="宋体"/>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 (Beijing) Limited</Company>
  <Pages>3</Pages>
  <Words>221</Words>
  <Characters>1262</Characters>
  <Lines>10</Lines>
  <Paragraphs>2</Paragraphs>
  <TotalTime>82</TotalTime>
  <ScaleCrop>false</ScaleCrop>
  <LinksUpToDate>false</LinksUpToDate>
  <CharactersWithSpaces>1481</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2016-07-05T01:17:00Z</dcterms:created>
  <dc:creator>Lenovo User</dc:creator>
  <cp:lastModifiedBy>春光</cp:lastModifiedBy>
  <cp:lastPrinted>2016-08-09T00:35:00Z</cp:lastPrinted>
  <dcterms:modified xsi:type="dcterms:W3CDTF">2021-08-27T07:31:38Z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ICV">
    <vt:lpwstr>48139D388F3C470C831A7878E870660A</vt:lpwstr>
  </property>
</Properties>
</file>